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SV2 2025 66 vom 2. März 2026</w:t>
      </w:r>
    </w:p>
    <w:p>
      <w:r>
        <w:t>GR Gerichte, 2026-03-02, IT</w:t>
      </w:r>
    </w:p>
    <w:p>
      <w:r>
        <w:rPr>
          <w:b/>
        </w:rPr>
        <w:t xml:space="preserve">Quelle: </w:t>
      </w:r>
      <w:r>
        <w:t>https://mcp.opencaselaw.ch/entscheid/gr_gerichte_SV2 2025 66</w:t>
      </w:r>
    </w:p>
    <w:p>
      <w:r>
        <w:t>FR: GR_GERICHTE SV2 2025 66 du 2 mars 2026</w:t>
      </w:r>
    </w:p>
    <w:p>
      <w:r>
        <w:t>IT: GR_GERICHTE SV2 2025 66 del 2 marzo 2026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OADI [RS 837.02]), – la legittimazione della ricorrente, quale destinataria della decisione impugnata, è pacifica (art. 59 LPGA), – considerato il valore litigioso inferiore a CHF 10'000.00 e, oltretutto, la circostanza che il ricorso è perlomeno manifestamente infondato, è competente il Giudice unico (art. 43 cpv. 3 lett. a e b LGA in unione con l’art. 61 ingresso LPGA), – in merito alla tempestività del ricorso giusta l'art. 39 cpv. 1 LPGA in unione con l'art. 60 cpv. 2 LPGA (v. anche art. 8 LGA), le istanze devono essere consegnate al più tardi l'ultimo giorno del termine ad un ufficio postale svizzero, ad una rappresentanza diplomatica o consolare svizzera oppure durante gli orari d'ufficio all'autorità competente,</w:t>
      </w:r>
    </w:p>
    <w:p>
      <w:r>
        <w:rPr>
          <w:b/>
        </w:rPr>
        <w:t>E. 3</w:t>
      </w:r>
    </w:p>
    <w:p>
      <w:r>
        <w:t>/ 8 – nel caso in oggetto, il convenuto ha trasmesso la decisione impugnata datata 11 settembre 2025 per posta ordinaria A, motivo per il quale, non è possibile stabilire con certezza il momento in cui essa è stata notificata alla ricorrente, – a mente della ricorrente, ella avrebbe ricevuto la busta contenente la decisione qui in esame unicamente il 22 settembre 2025, – il principio generale, secondo cui spetta a chi fa valere un diritto dimostrare l'esistenza del fatto su cui fonda tale diritto, è determinante anche nel diritto processuale (art. 8 CC [RS 210]); pertanto, l'onere della prova in merito alla data di notifica di una decisione o di un provvedimento, da cui dipendono l'inizio e la decorrenza del termine di ricorso, spetta all'autorità notificante; se la notifica o la sua data sono contestate e sussistono effettivamente dei dubbi al riguardo, occorre basarsi sulla dichiarazione del destinatario (sentenza del Tribunale federale 5D_88/2011 del 14 settembre 2011 consid. 3), – secondo la pagina internet della Posta Svizzera in merito agli invii della Posta A, il rispettivo recapito avviene il giorno lavorativo successivo, incluso il sabato (https://www.post.ch/it/spedire-lettere/prestazioni-complementari-lettere/ impostazione-tardiva-della-posta-a; visitato l’ultima volta il 12 marzo 2026), – pertanto, non è credibile che la ricorrente abbia ricevuto la decisione che reca la data dell’11 settembre 2025 unicamente 11 giorni dopo la rispettiva spedizione, – per quanto invece riguarda la tempestività del ricorso, il cui criterio decisivo è la sua consegna alla Posta Svizzera (principio di spedizione; cfr. per il diritto delle assicurazioni sociali DTF 145 V 90 consid. 6.1.1; cfr. in genere per il diritto pubblico sentenza del Tribunale federale 5A_536/2018 del 21 settembre 2018 consid. 3.2), l'onere della prova, che di regola è fornita dal timbro postale (DTF 147 IV 526 consid. 3.1, 142 V 389 consid. 2.2), spetta alla parte ricorrente, che deve fornirla con piena forza probatoria in misura del principio generale di cui all'art. 8 CC e non solo con una probabilità preponderante (DTF 142 V 389 consid. 2.2 e 3.3 con rinvii; sentenza del Tribunale federale 6B_157/2020 del</w:t>
      </w:r>
    </w:p>
    <w:p>
      <w:r>
        <w:rPr>
          <w:b/>
        </w:rPr>
        <w:t>E. 7</w:t>
      </w:r>
    </w:p>
    <w:p>
      <w:r>
        <w:t>/ 8 ferie non ancora godute; eventuali concessioni supplementari da parte della datrice di lavoro non possono dunque essere considerate (cfr. DTF 132 V 82 consid. 3.1 con rinvio alla DTF 125 V 494 consid. 3b), – giusta l'art. 1 cpv. 1 LADI in unione con l'art. 61 lett. fbis LPGA, in caso di controversie relative a prestazioni, la procedura di ricorso giudiziario cantonale è soggetta a spese se la singola legge interessata lo prevede; se la singola legge non lo prevede, il tribunale può imporre spese processuali alla parte che ha un comportamento temerario o sconsiderato, – nell'occorrenza, la LADI non prevede spese processuali e il ricorso qui in giudizio non è né temerario né sconsiderato, cosicché al ricorrente non possono essere accollate spese, – non vengono concesse indennità (art. 61 lett. g LPGA e contrario).</w:t>
      </w:r>
    </w:p>
    <w:p>
      <w:r>
        <w:rPr>
          <w:b/>
        </w:rPr>
        <w:t>E. 8</w:t>
      </w:r>
    </w:p>
    <w:p>
      <w:r>
        <w:t>/ 8 Il Tribunale d'appello pronuncia: 1. Il ricorso è respinto. 2. Non vengono prelevate spese. 3. Non vengono assegnate indennità. 4. [Rimedi legali] 5. [Comunicazione]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